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B1C41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60" w:lineRule="atLeast"/>
        <w:ind w:left="0" w:right="0" w:firstLine="0"/>
        <w:jc w:val="center"/>
        <w:textAlignment w:val="baseline"/>
        <w:rPr>
          <w:rFonts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42"/>
          <w:szCs w:val="42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42"/>
          <w:szCs w:val="42"/>
          <w:bdr w:val="none" w:color="auto" w:sz="0" w:space="0"/>
          <w:shd w:val="clear" w:fill="FFFFFF"/>
          <w:vertAlign w:val="baseline"/>
        </w:rPr>
        <w:t>如何选择合适的不锈钢快装球阀：口径、密封与压力等级？</w:t>
      </w:r>
    </w:p>
    <w:p w14:paraId="628158A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/>
          <w:lang w:val="en-US" w:eastAsia="zh-CN"/>
        </w:rPr>
      </w:pPr>
    </w:p>
    <w:p w14:paraId="5763E2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选择</w:t>
      </w:r>
      <w:r>
        <w:rPr>
          <w:rStyle w:val="11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不锈钢快装球阀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时，需综合考虑口径、密封和压力等级，以确保其安全、耐用且经济地运行。以下是具体的选型要点：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5EEFD0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📏 口径选择 (DN)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00A3C6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</w:t>
      </w:r>
      <w:r>
        <w:rPr>
          <w:rStyle w:val="11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匹配管道公称通径 (DN)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307618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阀门的口径应与管道保持一致，以确保流体顺畅通过，减少不必要的湍流和压降。快装球阀常见的DN范围为DN15至DN150，具体选择取决于管道尺寸。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35ACE6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</w:t>
      </w:r>
      <w:r>
        <w:rPr>
          <w:rStyle w:val="11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考虑流量与压降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7B4CA9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在满足流量的前提下，可适当考虑压降。对于高粘度介质或对压降敏感的系统，可选择</w:t>
      </w:r>
      <w:r>
        <w:rPr>
          <w:rStyle w:val="11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全通径球阀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，其流道与管道内径基本一致，能有效减小阻力。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542F5C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</w:t>
      </w:r>
      <w:r>
        <w:rPr>
          <w:rStyle w:val="11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核对快装接口尺寸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4256CB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不同厂家的卡箍尺寸(如卡盘外径、螺栓孔距)可能存在差异。选型时务必确认阀门的快装接口标准(如DIN、ISO、SMS、3A等)与现场管道或管件匹配。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 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drawing>
          <wp:inline distT="0" distB="0" distL="114300" distR="114300">
            <wp:extent cx="3948430" cy="3948430"/>
            <wp:effectExtent l="0" t="0" r="13970" b="1397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48430" cy="39484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10F24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🔒 密封选择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521C2BB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</w:t>
      </w:r>
      <w:r>
        <w:rPr>
          <w:rStyle w:val="11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根据介质与温度选密封材质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  <w:bookmarkStart w:id="0" w:name="_GoBack"/>
      <w:bookmarkEnd w:id="0"/>
    </w:p>
    <w:p w14:paraId="66EFD7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密封材质直接决定了阀门的耐温性和耐腐蚀性。常见材质对比如下：</w:t>
      </w:r>
    </w:p>
    <w:tbl>
      <w:tblPr>
        <w:tblW w:w="0" w:type="auto"/>
        <w:tblInd w:w="0" w:type="dxa"/>
        <w:tblBorders>
          <w:top w:val="single" w:color="E0E0E0" w:sz="2" w:space="0"/>
          <w:left w:val="single" w:color="E0E0E0" w:sz="2" w:space="0"/>
          <w:bottom w:val="single" w:color="E0E0E0" w:sz="2" w:space="0"/>
          <w:right w:val="single" w:color="E0E0E0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15"/>
        <w:gridCol w:w="1957"/>
        <w:gridCol w:w="4327"/>
      </w:tblGrid>
      <w:tr w14:paraId="1F34DE6F">
        <w:tblPrEx>
          <w:tblBorders>
            <w:top w:val="single" w:color="E0E0E0" w:sz="2" w:space="0"/>
            <w:left w:val="single" w:color="E0E0E0" w:sz="2" w:space="0"/>
            <w:bottom w:val="single" w:color="E0E0E0" w:sz="2" w:space="0"/>
            <w:right w:val="single" w:color="E0E0E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tcBorders>
              <w:top w:val="single" w:color="E0E0E0" w:sz="2" w:space="0"/>
              <w:left w:val="single" w:color="E0E0E0" w:sz="2" w:space="0"/>
              <w:bottom w:val="single" w:color="E0E0E0" w:sz="2" w:space="0"/>
              <w:right w:val="single" w:color="E0E0E0" w:sz="2" w:space="0"/>
            </w:tcBorders>
            <w:shd w:val="clear"/>
            <w:tcMar>
              <w:top w:w="161" w:type="dxa"/>
              <w:bottom w:w="161" w:type="dxa"/>
              <w:right w:w="193" w:type="dxa"/>
            </w:tcMar>
            <w:vAlign w:val="top"/>
          </w:tcPr>
          <w:p w14:paraId="3B5F1E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Helvetica" w:hAnsi="Helvetica" w:eastAsia="Helvetica" w:cs="Helvetica"/>
                <w:b/>
                <w:bCs/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/>
                <w:bCs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密封材质</w:t>
            </w:r>
          </w:p>
        </w:tc>
        <w:tc>
          <w:tcPr>
            <w:tcW w:w="0" w:type="auto"/>
            <w:tcBorders>
              <w:top w:val="single" w:color="E0E0E0" w:sz="2" w:space="0"/>
              <w:left w:val="single" w:color="E0E0E0" w:sz="2" w:space="0"/>
              <w:bottom w:val="single" w:color="E0E0E0" w:sz="2" w:space="0"/>
              <w:right w:val="single" w:color="E0E0E0" w:sz="2" w:space="0"/>
            </w:tcBorders>
            <w:shd w:val="clear"/>
            <w:tcMar>
              <w:top w:w="161" w:type="dxa"/>
              <w:bottom w:w="161" w:type="dxa"/>
              <w:right w:w="193" w:type="dxa"/>
            </w:tcMar>
            <w:vAlign w:val="top"/>
          </w:tcPr>
          <w:p w14:paraId="35F0AD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Helvetica" w:hAnsi="Helvetica" w:eastAsia="Helvetica" w:cs="Helvetica"/>
                <w:b/>
                <w:bCs/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/>
                <w:bCs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典型耐温范围</w:t>
            </w:r>
          </w:p>
        </w:tc>
        <w:tc>
          <w:tcPr>
            <w:tcW w:w="0" w:type="auto"/>
            <w:tcBorders>
              <w:top w:val="single" w:color="E0E0E0" w:sz="2" w:space="0"/>
              <w:left w:val="single" w:color="E0E0E0" w:sz="2" w:space="0"/>
              <w:bottom w:val="single" w:color="E0E0E0" w:sz="2" w:space="0"/>
              <w:right w:val="single" w:color="E0E0E0" w:sz="2" w:space="0"/>
            </w:tcBorders>
            <w:shd w:val="clear"/>
            <w:tcMar>
              <w:top w:w="161" w:type="dxa"/>
              <w:bottom w:w="161" w:type="dxa"/>
              <w:right w:w="193" w:type="dxa"/>
            </w:tcMar>
            <w:vAlign w:val="top"/>
          </w:tcPr>
          <w:p w14:paraId="239E31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Helvetica" w:hAnsi="Helvetica" w:eastAsia="Helvetica" w:cs="Helvetica"/>
                <w:b/>
                <w:bCs/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/>
                <w:bCs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主要特点与适用场景</w:t>
            </w:r>
          </w:p>
        </w:tc>
      </w:tr>
      <w:tr w14:paraId="16E81073">
        <w:tblPrEx>
          <w:tblBorders>
            <w:top w:val="single" w:color="E0E0E0" w:sz="2" w:space="0"/>
            <w:left w:val="single" w:color="E0E0E0" w:sz="2" w:space="0"/>
            <w:bottom w:val="single" w:color="E0E0E0" w:sz="2" w:space="0"/>
            <w:right w:val="single" w:color="E0E0E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0E0E0" w:sz="2" w:space="0"/>
              <w:left w:val="single" w:color="E0E0E0" w:sz="2" w:space="0"/>
              <w:bottom w:val="single" w:color="E0E0E0" w:sz="2" w:space="0"/>
              <w:right w:val="single" w:color="E0E0E0" w:sz="2" w:space="0"/>
            </w:tcBorders>
            <w:shd w:val="clear"/>
            <w:tcMar>
              <w:top w:w="161" w:type="dxa"/>
              <w:bottom w:w="161" w:type="dxa"/>
              <w:right w:w="193" w:type="dxa"/>
            </w:tcMar>
            <w:vAlign w:val="center"/>
          </w:tcPr>
          <w:p w14:paraId="44C0CD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Helvetica" w:hAnsi="Helvetica" w:eastAsia="Helvetica" w:cs="Helvetica"/>
                <w:sz w:val="24"/>
                <w:szCs w:val="24"/>
              </w:rPr>
            </w:pPr>
            <w:r>
              <w:rPr>
                <w:rStyle w:val="11"/>
                <w:rFonts w:hint="default" w:ascii="Helvetica" w:hAnsi="Helvetica" w:eastAsia="Helvetica" w:cs="Helvetica"/>
                <w:b/>
                <w:bCs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PTFE (聚四氟乙烯)</w:t>
            </w:r>
            <w:r>
              <w:rPr>
                <w:rFonts w:hint="default" w:ascii="Helvetica" w:hAnsi="Helvetica" w:eastAsia="Helvetica" w:cs="Helvetica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​</w:t>
            </w:r>
          </w:p>
        </w:tc>
        <w:tc>
          <w:tcPr>
            <w:tcW w:w="0" w:type="auto"/>
            <w:tcBorders>
              <w:top w:val="single" w:color="E0E0E0" w:sz="2" w:space="0"/>
              <w:left w:val="single" w:color="E0E0E0" w:sz="2" w:space="0"/>
              <w:bottom w:val="single" w:color="E0E0E0" w:sz="2" w:space="0"/>
              <w:right w:val="single" w:color="E0E0E0" w:sz="2" w:space="0"/>
            </w:tcBorders>
            <w:shd w:val="clear"/>
            <w:tcMar>
              <w:top w:w="161" w:type="dxa"/>
              <w:bottom w:w="161" w:type="dxa"/>
              <w:right w:w="193" w:type="dxa"/>
            </w:tcMar>
            <w:vAlign w:val="center"/>
          </w:tcPr>
          <w:p w14:paraId="0AD407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Helvetica" w:hAnsi="Helvetica" w:eastAsia="Helvetica" w:cs="Helvetica"/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-30～180℃</w:t>
            </w:r>
          </w:p>
        </w:tc>
        <w:tc>
          <w:tcPr>
            <w:tcW w:w="0" w:type="auto"/>
            <w:tcBorders>
              <w:top w:val="single" w:color="E0E0E0" w:sz="2" w:space="0"/>
              <w:left w:val="single" w:color="E0E0E0" w:sz="2" w:space="0"/>
              <w:bottom w:val="single" w:color="E0E0E0" w:sz="2" w:space="0"/>
              <w:right w:val="single" w:color="E0E0E0" w:sz="2" w:space="0"/>
            </w:tcBorders>
            <w:shd w:val="clear"/>
            <w:tcMar>
              <w:top w:w="161" w:type="dxa"/>
              <w:bottom w:w="161" w:type="dxa"/>
              <w:right w:w="193" w:type="dxa"/>
            </w:tcMar>
            <w:vAlign w:val="center"/>
          </w:tcPr>
          <w:p w14:paraId="395848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Helvetica" w:hAnsi="Helvetica" w:eastAsia="Helvetica" w:cs="Helvetica"/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化学惰性强，卫生级，适用于食品、制药、饮料及大多数酸碱介质。</w:t>
            </w:r>
          </w:p>
        </w:tc>
      </w:tr>
      <w:tr w14:paraId="59998C76">
        <w:tblPrEx>
          <w:tblBorders>
            <w:top w:val="single" w:color="E0E0E0" w:sz="2" w:space="0"/>
            <w:left w:val="single" w:color="E0E0E0" w:sz="2" w:space="0"/>
            <w:bottom w:val="single" w:color="E0E0E0" w:sz="2" w:space="0"/>
            <w:right w:val="single" w:color="E0E0E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0E0E0" w:sz="2" w:space="0"/>
              <w:left w:val="single" w:color="E0E0E0" w:sz="2" w:space="0"/>
              <w:bottom w:val="single" w:color="E0E0E0" w:sz="2" w:space="0"/>
              <w:right w:val="single" w:color="E0E0E0" w:sz="2" w:space="0"/>
            </w:tcBorders>
            <w:shd w:val="clear"/>
            <w:tcMar>
              <w:top w:w="161" w:type="dxa"/>
              <w:bottom w:w="161" w:type="dxa"/>
              <w:right w:w="193" w:type="dxa"/>
            </w:tcMar>
            <w:vAlign w:val="center"/>
          </w:tcPr>
          <w:p w14:paraId="1BEE3D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Helvetica" w:hAnsi="Helvetica" w:eastAsia="Helvetica" w:cs="Helvetica"/>
                <w:sz w:val="24"/>
                <w:szCs w:val="24"/>
              </w:rPr>
            </w:pPr>
            <w:r>
              <w:rPr>
                <w:rStyle w:val="11"/>
                <w:rFonts w:hint="default" w:ascii="Helvetica" w:hAnsi="Helvetica" w:eastAsia="Helvetica" w:cs="Helvetica"/>
                <w:b/>
                <w:bCs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EPDM (三元乙丙橡胶)</w:t>
            </w:r>
            <w:r>
              <w:rPr>
                <w:rFonts w:hint="default" w:ascii="Helvetica" w:hAnsi="Helvetica" w:eastAsia="Helvetica" w:cs="Helvetica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​</w:t>
            </w:r>
          </w:p>
        </w:tc>
        <w:tc>
          <w:tcPr>
            <w:tcW w:w="0" w:type="auto"/>
            <w:tcBorders>
              <w:top w:val="single" w:color="E0E0E0" w:sz="2" w:space="0"/>
              <w:left w:val="single" w:color="E0E0E0" w:sz="2" w:space="0"/>
              <w:bottom w:val="single" w:color="E0E0E0" w:sz="2" w:space="0"/>
              <w:right w:val="single" w:color="E0E0E0" w:sz="2" w:space="0"/>
            </w:tcBorders>
            <w:shd w:val="clear"/>
            <w:tcMar>
              <w:top w:w="161" w:type="dxa"/>
              <w:bottom w:w="161" w:type="dxa"/>
              <w:right w:w="193" w:type="dxa"/>
            </w:tcMar>
            <w:vAlign w:val="center"/>
          </w:tcPr>
          <w:p w14:paraId="234A9C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Helvetica" w:hAnsi="Helvetica" w:eastAsia="Helvetica" w:cs="Helvetica"/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-20～135℃ (间歇150℃)</w:t>
            </w:r>
          </w:p>
        </w:tc>
        <w:tc>
          <w:tcPr>
            <w:tcW w:w="0" w:type="auto"/>
            <w:tcBorders>
              <w:top w:val="single" w:color="E0E0E0" w:sz="2" w:space="0"/>
              <w:left w:val="single" w:color="E0E0E0" w:sz="2" w:space="0"/>
              <w:bottom w:val="single" w:color="E0E0E0" w:sz="2" w:space="0"/>
              <w:right w:val="single" w:color="E0E0E0" w:sz="2" w:space="0"/>
            </w:tcBorders>
            <w:shd w:val="clear"/>
            <w:tcMar>
              <w:top w:w="161" w:type="dxa"/>
              <w:bottom w:w="161" w:type="dxa"/>
              <w:right w:w="193" w:type="dxa"/>
            </w:tcMar>
            <w:vAlign w:val="center"/>
          </w:tcPr>
          <w:p w14:paraId="7CC4B8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Helvetica" w:hAnsi="Helvetica" w:eastAsia="Helvetica" w:cs="Helvetica"/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耐热水、蒸汽、酸碱，广泛用于食品、CIP清洗系统。</w:t>
            </w:r>
          </w:p>
        </w:tc>
      </w:tr>
      <w:tr w14:paraId="079C2F7D">
        <w:tblPrEx>
          <w:tblBorders>
            <w:top w:val="single" w:color="E0E0E0" w:sz="2" w:space="0"/>
            <w:left w:val="single" w:color="E0E0E0" w:sz="2" w:space="0"/>
            <w:bottom w:val="single" w:color="E0E0E0" w:sz="2" w:space="0"/>
            <w:right w:val="single" w:color="E0E0E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0E0E0" w:sz="2" w:space="0"/>
              <w:left w:val="single" w:color="E0E0E0" w:sz="2" w:space="0"/>
              <w:bottom w:val="single" w:color="E0E0E0" w:sz="2" w:space="0"/>
              <w:right w:val="single" w:color="E0E0E0" w:sz="2" w:space="0"/>
            </w:tcBorders>
            <w:shd w:val="clear"/>
            <w:tcMar>
              <w:top w:w="161" w:type="dxa"/>
              <w:bottom w:w="161" w:type="dxa"/>
              <w:right w:w="193" w:type="dxa"/>
            </w:tcMar>
            <w:vAlign w:val="center"/>
          </w:tcPr>
          <w:p w14:paraId="50AE18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Helvetica" w:hAnsi="Helvetica" w:eastAsia="Helvetica" w:cs="Helvetica"/>
                <w:sz w:val="24"/>
                <w:szCs w:val="24"/>
              </w:rPr>
            </w:pPr>
            <w:r>
              <w:rPr>
                <w:rStyle w:val="11"/>
                <w:rFonts w:hint="default" w:ascii="Helvetica" w:hAnsi="Helvetica" w:eastAsia="Helvetica" w:cs="Helvetica"/>
                <w:b/>
                <w:bCs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NBR (丁腈橡胶)</w:t>
            </w:r>
            <w:r>
              <w:rPr>
                <w:rFonts w:hint="default" w:ascii="Helvetica" w:hAnsi="Helvetica" w:eastAsia="Helvetica" w:cs="Helvetica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​</w:t>
            </w:r>
          </w:p>
        </w:tc>
        <w:tc>
          <w:tcPr>
            <w:tcW w:w="0" w:type="auto"/>
            <w:tcBorders>
              <w:top w:val="single" w:color="E0E0E0" w:sz="2" w:space="0"/>
              <w:left w:val="single" w:color="E0E0E0" w:sz="2" w:space="0"/>
              <w:bottom w:val="single" w:color="E0E0E0" w:sz="2" w:space="0"/>
              <w:right w:val="single" w:color="E0E0E0" w:sz="2" w:space="0"/>
            </w:tcBorders>
            <w:shd w:val="clear"/>
            <w:tcMar>
              <w:top w:w="161" w:type="dxa"/>
              <w:bottom w:w="161" w:type="dxa"/>
              <w:right w:w="193" w:type="dxa"/>
            </w:tcMar>
            <w:vAlign w:val="center"/>
          </w:tcPr>
          <w:p w14:paraId="7C302F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Helvetica" w:hAnsi="Helvetica" w:eastAsia="Helvetica" w:cs="Helvetica"/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-20～80℃</w:t>
            </w:r>
          </w:p>
        </w:tc>
        <w:tc>
          <w:tcPr>
            <w:tcW w:w="0" w:type="auto"/>
            <w:tcBorders>
              <w:top w:val="single" w:color="E0E0E0" w:sz="2" w:space="0"/>
              <w:left w:val="single" w:color="E0E0E0" w:sz="2" w:space="0"/>
              <w:bottom w:val="single" w:color="E0E0E0" w:sz="2" w:space="0"/>
              <w:right w:val="single" w:color="E0E0E0" w:sz="2" w:space="0"/>
            </w:tcBorders>
            <w:shd w:val="clear"/>
            <w:tcMar>
              <w:top w:w="161" w:type="dxa"/>
              <w:bottom w:w="161" w:type="dxa"/>
              <w:right w:w="193" w:type="dxa"/>
            </w:tcMar>
            <w:vAlign w:val="center"/>
          </w:tcPr>
          <w:p w14:paraId="10777E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Helvetica" w:hAnsi="Helvetica" w:eastAsia="Helvetica" w:cs="Helvetica"/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耐油性好，适用于矿物油、燃油等，但在卫生级工况中应用较少。</w:t>
            </w:r>
          </w:p>
        </w:tc>
      </w:tr>
      <w:tr w14:paraId="412D8BC3">
        <w:tblPrEx>
          <w:tblBorders>
            <w:top w:val="single" w:color="E0E0E0" w:sz="2" w:space="0"/>
            <w:left w:val="single" w:color="E0E0E0" w:sz="2" w:space="0"/>
            <w:bottom w:val="single" w:color="E0E0E0" w:sz="2" w:space="0"/>
            <w:right w:val="single" w:color="E0E0E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0E0E0" w:sz="2" w:space="0"/>
              <w:left w:val="single" w:color="E0E0E0" w:sz="2" w:space="0"/>
              <w:bottom w:val="single" w:color="E0E0E0" w:sz="2" w:space="0"/>
              <w:right w:val="single" w:color="E0E0E0" w:sz="2" w:space="0"/>
            </w:tcBorders>
            <w:shd w:val="clear"/>
            <w:tcMar>
              <w:top w:w="161" w:type="dxa"/>
              <w:bottom w:w="161" w:type="dxa"/>
              <w:right w:w="193" w:type="dxa"/>
            </w:tcMar>
            <w:vAlign w:val="center"/>
          </w:tcPr>
          <w:p w14:paraId="02A48B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Helvetica" w:hAnsi="Helvetica" w:eastAsia="Helvetica" w:cs="Helvetica"/>
                <w:sz w:val="24"/>
                <w:szCs w:val="24"/>
              </w:rPr>
            </w:pPr>
            <w:r>
              <w:rPr>
                <w:rStyle w:val="11"/>
                <w:rFonts w:hint="default" w:ascii="Helvetica" w:hAnsi="Helvetica" w:eastAsia="Helvetica" w:cs="Helvetica"/>
                <w:b/>
                <w:bCs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硅胶 (Silicone)</w:t>
            </w:r>
            <w:r>
              <w:rPr>
                <w:rFonts w:hint="default" w:ascii="Helvetica" w:hAnsi="Helvetica" w:eastAsia="Helvetica" w:cs="Helvetica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​</w:t>
            </w:r>
          </w:p>
        </w:tc>
        <w:tc>
          <w:tcPr>
            <w:tcW w:w="0" w:type="auto"/>
            <w:tcBorders>
              <w:top w:val="single" w:color="E0E0E0" w:sz="2" w:space="0"/>
              <w:left w:val="single" w:color="E0E0E0" w:sz="2" w:space="0"/>
              <w:bottom w:val="single" w:color="E0E0E0" w:sz="2" w:space="0"/>
              <w:right w:val="single" w:color="E0E0E0" w:sz="2" w:space="0"/>
            </w:tcBorders>
            <w:shd w:val="clear"/>
            <w:tcMar>
              <w:top w:w="161" w:type="dxa"/>
              <w:bottom w:w="161" w:type="dxa"/>
              <w:right w:w="193" w:type="dxa"/>
            </w:tcMar>
            <w:vAlign w:val="center"/>
          </w:tcPr>
          <w:p w14:paraId="16FC86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Helvetica" w:hAnsi="Helvetica" w:eastAsia="Helvetica" w:cs="Helvetica"/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-55～220℃</w:t>
            </w:r>
          </w:p>
        </w:tc>
        <w:tc>
          <w:tcPr>
            <w:tcW w:w="0" w:type="auto"/>
            <w:tcBorders>
              <w:top w:val="single" w:color="E0E0E0" w:sz="2" w:space="0"/>
              <w:left w:val="single" w:color="E0E0E0" w:sz="2" w:space="0"/>
              <w:bottom w:val="single" w:color="E0E0E0" w:sz="2" w:space="0"/>
              <w:right w:val="single" w:color="E0E0E0" w:sz="2" w:space="0"/>
            </w:tcBorders>
            <w:shd w:val="clear"/>
            <w:tcMar>
              <w:top w:w="161" w:type="dxa"/>
              <w:bottom w:w="161" w:type="dxa"/>
              <w:right w:w="193" w:type="dxa"/>
            </w:tcMar>
            <w:vAlign w:val="center"/>
          </w:tcPr>
          <w:p w14:paraId="5F68BC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Helvetica" w:hAnsi="Helvetica" w:eastAsia="Helvetica" w:cs="Helvetica"/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无毒无味，符合FDA标准，常用于高纯度水或高温流体。</w:t>
            </w:r>
          </w:p>
        </w:tc>
      </w:tr>
      <w:tr w14:paraId="160F6CEC">
        <w:tblPrEx>
          <w:tblBorders>
            <w:top w:val="single" w:color="E0E0E0" w:sz="2" w:space="0"/>
            <w:left w:val="single" w:color="E0E0E0" w:sz="2" w:space="0"/>
            <w:bottom w:val="single" w:color="E0E0E0" w:sz="2" w:space="0"/>
            <w:right w:val="single" w:color="E0E0E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0E0E0" w:sz="2" w:space="0"/>
              <w:left w:val="single" w:color="E0E0E0" w:sz="2" w:space="0"/>
              <w:bottom w:val="single" w:color="E0E0E0" w:sz="2" w:space="0"/>
              <w:right w:val="single" w:color="E0E0E0" w:sz="2" w:space="0"/>
            </w:tcBorders>
            <w:shd w:val="clear"/>
            <w:tcMar>
              <w:top w:w="161" w:type="dxa"/>
              <w:bottom w:w="161" w:type="dxa"/>
              <w:right w:w="193" w:type="dxa"/>
            </w:tcMar>
            <w:vAlign w:val="center"/>
          </w:tcPr>
          <w:p w14:paraId="04F44B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Helvetica" w:hAnsi="Helvetica" w:eastAsia="Helvetica" w:cs="Helvetica"/>
                <w:sz w:val="24"/>
                <w:szCs w:val="24"/>
              </w:rPr>
            </w:pPr>
            <w:r>
              <w:rPr>
                <w:rStyle w:val="11"/>
                <w:rFonts w:hint="default" w:ascii="Helvetica" w:hAnsi="Helvetica" w:eastAsia="Helvetica" w:cs="Helvetica"/>
                <w:b/>
                <w:bCs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FKM (氟橡胶)</w:t>
            </w:r>
            <w:r>
              <w:rPr>
                <w:rFonts w:hint="default" w:ascii="Helvetica" w:hAnsi="Helvetica" w:eastAsia="Helvetica" w:cs="Helvetica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​</w:t>
            </w:r>
          </w:p>
        </w:tc>
        <w:tc>
          <w:tcPr>
            <w:tcW w:w="0" w:type="auto"/>
            <w:tcBorders>
              <w:top w:val="single" w:color="E0E0E0" w:sz="2" w:space="0"/>
              <w:left w:val="single" w:color="E0E0E0" w:sz="2" w:space="0"/>
              <w:bottom w:val="single" w:color="E0E0E0" w:sz="2" w:space="0"/>
              <w:right w:val="single" w:color="E0E0E0" w:sz="2" w:space="0"/>
            </w:tcBorders>
            <w:shd w:val="clear"/>
            <w:tcMar>
              <w:top w:w="161" w:type="dxa"/>
              <w:bottom w:w="161" w:type="dxa"/>
              <w:right w:w="193" w:type="dxa"/>
            </w:tcMar>
            <w:vAlign w:val="center"/>
          </w:tcPr>
          <w:p w14:paraId="0AE651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Helvetica" w:hAnsi="Helvetica" w:eastAsia="Helvetica" w:cs="Helvetica"/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-20～200℃</w:t>
            </w:r>
          </w:p>
        </w:tc>
        <w:tc>
          <w:tcPr>
            <w:tcW w:w="0" w:type="auto"/>
            <w:tcBorders>
              <w:top w:val="single" w:color="E0E0E0" w:sz="2" w:space="0"/>
              <w:left w:val="single" w:color="E0E0E0" w:sz="2" w:space="0"/>
              <w:bottom w:val="single" w:color="E0E0E0" w:sz="2" w:space="0"/>
              <w:right w:val="single" w:color="E0E0E0" w:sz="2" w:space="0"/>
            </w:tcBorders>
            <w:shd w:val="clear"/>
            <w:tcMar>
              <w:top w:w="161" w:type="dxa"/>
              <w:bottom w:w="161" w:type="dxa"/>
              <w:right w:w="193" w:type="dxa"/>
            </w:tcMar>
            <w:vAlign w:val="center"/>
          </w:tcPr>
          <w:p w14:paraId="6940C3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Helvetica" w:hAnsi="Helvetica" w:eastAsia="Helvetica" w:cs="Helvetica"/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耐高温、耐油、耐多数化学品，适用于要求更高的工况。</w:t>
            </w:r>
          </w:p>
        </w:tc>
      </w:tr>
    </w:tbl>
    <w:p w14:paraId="4EF83B5B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229AA6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</w:t>
      </w:r>
      <w:r>
        <w:rPr>
          <w:rStyle w:val="11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根据工况选密封结构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79A3AD3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</w:t>
      </w:r>
      <w:r>
        <w:rPr>
          <w:rStyle w:val="11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软密封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：通常为PTFE、EPDM等，密封性能好，泄漏率低，是卫生级快装球阀的主流选择。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3B4FE2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</w:t>
      </w:r>
      <w:r>
        <w:rPr>
          <w:rStyle w:val="11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金属硬密封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：耐高温、耐磨损，但密封性略逊于软密封，多用于工况。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69B5E3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⚙️ 压力等级选择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0B7151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</w:t>
      </w:r>
      <w:r>
        <w:rPr>
          <w:rStyle w:val="11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确定系统最大工作压力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39A2CA3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压力等级的选择基础是系统的最大工作压力，需综合考虑静态压力、泵启停水锤等因素。对于水泵出口、蒸汽系统等，应取计算压力的1.5倍作为选型依据。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1A4F8F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</w:t>
      </w:r>
      <w:r>
        <w:rPr>
          <w:rStyle w:val="11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选择合适的公称压力 (PN)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77F7F1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确保阀门的PN值大于系统最大工作压力。常见PN等级对应关系如下：</w:t>
      </w:r>
    </w:p>
    <w:tbl>
      <w:tblPr>
        <w:tblW w:w="0" w:type="auto"/>
        <w:tblInd w:w="0" w:type="dxa"/>
        <w:tblBorders>
          <w:top w:val="single" w:color="E0E0E0" w:sz="2" w:space="0"/>
          <w:left w:val="single" w:color="E0E0E0" w:sz="2" w:space="0"/>
          <w:bottom w:val="single" w:color="E0E0E0" w:sz="2" w:space="0"/>
          <w:right w:val="single" w:color="E0E0E0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72"/>
        <w:gridCol w:w="1401"/>
        <w:gridCol w:w="5716"/>
      </w:tblGrid>
      <w:tr w14:paraId="365D4189">
        <w:tblPrEx>
          <w:tblBorders>
            <w:top w:val="single" w:color="E0E0E0" w:sz="2" w:space="0"/>
            <w:left w:val="single" w:color="E0E0E0" w:sz="2" w:space="0"/>
            <w:bottom w:val="single" w:color="E0E0E0" w:sz="2" w:space="0"/>
            <w:right w:val="single" w:color="E0E0E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tcBorders>
              <w:top w:val="single" w:color="E0E0E0" w:sz="2" w:space="0"/>
              <w:left w:val="single" w:color="E0E0E0" w:sz="2" w:space="0"/>
              <w:bottom w:val="single" w:color="E0E0E0" w:sz="2" w:space="0"/>
              <w:right w:val="single" w:color="E0E0E0" w:sz="2" w:space="0"/>
            </w:tcBorders>
            <w:shd w:val="clear"/>
            <w:tcMar>
              <w:top w:w="161" w:type="dxa"/>
              <w:bottom w:w="161" w:type="dxa"/>
              <w:right w:w="193" w:type="dxa"/>
            </w:tcMar>
            <w:vAlign w:val="top"/>
          </w:tcPr>
          <w:p w14:paraId="39D1C3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Helvetica" w:hAnsi="Helvetica" w:eastAsia="Helvetica" w:cs="Helvetica"/>
                <w:b/>
                <w:bCs/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/>
                <w:bCs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PN等级</w:t>
            </w:r>
          </w:p>
        </w:tc>
        <w:tc>
          <w:tcPr>
            <w:tcW w:w="0" w:type="auto"/>
            <w:tcBorders>
              <w:top w:val="single" w:color="E0E0E0" w:sz="2" w:space="0"/>
              <w:left w:val="single" w:color="E0E0E0" w:sz="2" w:space="0"/>
              <w:bottom w:val="single" w:color="E0E0E0" w:sz="2" w:space="0"/>
              <w:right w:val="single" w:color="E0E0E0" w:sz="2" w:space="0"/>
            </w:tcBorders>
            <w:shd w:val="clear"/>
            <w:tcMar>
              <w:top w:w="161" w:type="dxa"/>
              <w:bottom w:w="161" w:type="dxa"/>
              <w:right w:w="193" w:type="dxa"/>
            </w:tcMar>
            <w:vAlign w:val="top"/>
          </w:tcPr>
          <w:p w14:paraId="74E24D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Helvetica" w:hAnsi="Helvetica" w:eastAsia="Helvetica" w:cs="Helvetica"/>
                <w:b/>
                <w:bCs/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/>
                <w:bCs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约等于压力</w:t>
            </w:r>
          </w:p>
        </w:tc>
        <w:tc>
          <w:tcPr>
            <w:tcW w:w="0" w:type="auto"/>
            <w:tcBorders>
              <w:top w:val="single" w:color="E0E0E0" w:sz="2" w:space="0"/>
              <w:left w:val="single" w:color="E0E0E0" w:sz="2" w:space="0"/>
              <w:bottom w:val="single" w:color="E0E0E0" w:sz="2" w:space="0"/>
              <w:right w:val="single" w:color="E0E0E0" w:sz="2" w:space="0"/>
            </w:tcBorders>
            <w:shd w:val="clear"/>
            <w:tcMar>
              <w:top w:w="161" w:type="dxa"/>
              <w:bottom w:w="161" w:type="dxa"/>
              <w:right w:w="193" w:type="dxa"/>
            </w:tcMar>
            <w:vAlign w:val="top"/>
          </w:tcPr>
          <w:p w14:paraId="49DC74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Helvetica" w:hAnsi="Helvetica" w:eastAsia="Helvetica" w:cs="Helvetica"/>
                <w:b/>
                <w:bCs/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/>
                <w:bCs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典型应用场景</w:t>
            </w:r>
          </w:p>
        </w:tc>
      </w:tr>
      <w:tr w14:paraId="6B48AF94">
        <w:tblPrEx>
          <w:tblBorders>
            <w:top w:val="single" w:color="E0E0E0" w:sz="2" w:space="0"/>
            <w:left w:val="single" w:color="E0E0E0" w:sz="2" w:space="0"/>
            <w:bottom w:val="single" w:color="E0E0E0" w:sz="2" w:space="0"/>
            <w:right w:val="single" w:color="E0E0E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0E0E0" w:sz="2" w:space="0"/>
              <w:left w:val="single" w:color="E0E0E0" w:sz="2" w:space="0"/>
              <w:bottom w:val="single" w:color="E0E0E0" w:sz="2" w:space="0"/>
              <w:right w:val="single" w:color="E0E0E0" w:sz="2" w:space="0"/>
            </w:tcBorders>
            <w:shd w:val="clear"/>
            <w:tcMar>
              <w:top w:w="161" w:type="dxa"/>
              <w:bottom w:w="161" w:type="dxa"/>
              <w:right w:w="193" w:type="dxa"/>
            </w:tcMar>
            <w:vAlign w:val="center"/>
          </w:tcPr>
          <w:p w14:paraId="2C73B3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Helvetica" w:hAnsi="Helvetica" w:eastAsia="Helvetica" w:cs="Helvetica"/>
                <w:sz w:val="24"/>
                <w:szCs w:val="24"/>
              </w:rPr>
            </w:pPr>
            <w:r>
              <w:rPr>
                <w:rStyle w:val="11"/>
                <w:rFonts w:hint="default" w:ascii="Helvetica" w:hAnsi="Helvetica" w:eastAsia="Helvetica" w:cs="Helvetica"/>
                <w:b/>
                <w:bCs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PN10</w:t>
            </w:r>
            <w:r>
              <w:rPr>
                <w:rFonts w:hint="default" w:ascii="Helvetica" w:hAnsi="Helvetica" w:eastAsia="Helvetica" w:cs="Helvetica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​</w:t>
            </w:r>
          </w:p>
        </w:tc>
        <w:tc>
          <w:tcPr>
            <w:tcW w:w="0" w:type="auto"/>
            <w:tcBorders>
              <w:top w:val="single" w:color="E0E0E0" w:sz="2" w:space="0"/>
              <w:left w:val="single" w:color="E0E0E0" w:sz="2" w:space="0"/>
              <w:bottom w:val="single" w:color="E0E0E0" w:sz="2" w:space="0"/>
              <w:right w:val="single" w:color="E0E0E0" w:sz="2" w:space="0"/>
            </w:tcBorders>
            <w:shd w:val="clear"/>
            <w:tcMar>
              <w:top w:w="161" w:type="dxa"/>
              <w:bottom w:w="161" w:type="dxa"/>
              <w:right w:w="193" w:type="dxa"/>
            </w:tcMar>
            <w:vAlign w:val="center"/>
          </w:tcPr>
          <w:p w14:paraId="16D4E4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Helvetica" w:hAnsi="Helvetica" w:eastAsia="Helvetica" w:cs="Helvetica"/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1.0 MPa</w:t>
            </w:r>
          </w:p>
        </w:tc>
        <w:tc>
          <w:tcPr>
            <w:tcW w:w="0" w:type="auto"/>
            <w:tcBorders>
              <w:top w:val="single" w:color="E0E0E0" w:sz="2" w:space="0"/>
              <w:left w:val="single" w:color="E0E0E0" w:sz="2" w:space="0"/>
              <w:bottom w:val="single" w:color="E0E0E0" w:sz="2" w:space="0"/>
              <w:right w:val="single" w:color="E0E0E0" w:sz="2" w:space="0"/>
            </w:tcBorders>
            <w:shd w:val="clear"/>
            <w:tcMar>
              <w:top w:w="161" w:type="dxa"/>
              <w:bottom w:w="161" w:type="dxa"/>
              <w:right w:w="193" w:type="dxa"/>
            </w:tcMar>
            <w:vAlign w:val="center"/>
          </w:tcPr>
          <w:p w14:paraId="5480B4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Helvetica" w:hAnsi="Helvetica" w:eastAsia="Helvetica" w:cs="Helvetica"/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低压水处理、一般供水。</w:t>
            </w:r>
          </w:p>
        </w:tc>
      </w:tr>
      <w:tr w14:paraId="0A02C8F9">
        <w:tblPrEx>
          <w:tblBorders>
            <w:top w:val="single" w:color="E0E0E0" w:sz="2" w:space="0"/>
            <w:left w:val="single" w:color="E0E0E0" w:sz="2" w:space="0"/>
            <w:bottom w:val="single" w:color="E0E0E0" w:sz="2" w:space="0"/>
            <w:right w:val="single" w:color="E0E0E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0E0E0" w:sz="2" w:space="0"/>
              <w:left w:val="single" w:color="E0E0E0" w:sz="2" w:space="0"/>
              <w:bottom w:val="single" w:color="E0E0E0" w:sz="2" w:space="0"/>
              <w:right w:val="single" w:color="E0E0E0" w:sz="2" w:space="0"/>
            </w:tcBorders>
            <w:shd w:val="clear"/>
            <w:tcMar>
              <w:top w:w="161" w:type="dxa"/>
              <w:bottom w:w="161" w:type="dxa"/>
              <w:right w:w="193" w:type="dxa"/>
            </w:tcMar>
            <w:vAlign w:val="center"/>
          </w:tcPr>
          <w:p w14:paraId="362C84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Helvetica" w:hAnsi="Helvetica" w:eastAsia="Helvetica" w:cs="Helvetica"/>
                <w:sz w:val="24"/>
                <w:szCs w:val="24"/>
              </w:rPr>
            </w:pPr>
            <w:r>
              <w:rPr>
                <w:rStyle w:val="11"/>
                <w:rFonts w:hint="default" w:ascii="Helvetica" w:hAnsi="Helvetica" w:eastAsia="Helvetica" w:cs="Helvetica"/>
                <w:b/>
                <w:bCs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PN16</w:t>
            </w:r>
            <w:r>
              <w:rPr>
                <w:rFonts w:hint="default" w:ascii="Helvetica" w:hAnsi="Helvetica" w:eastAsia="Helvetica" w:cs="Helvetica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​</w:t>
            </w:r>
          </w:p>
        </w:tc>
        <w:tc>
          <w:tcPr>
            <w:tcW w:w="0" w:type="auto"/>
            <w:tcBorders>
              <w:top w:val="single" w:color="E0E0E0" w:sz="2" w:space="0"/>
              <w:left w:val="single" w:color="E0E0E0" w:sz="2" w:space="0"/>
              <w:bottom w:val="single" w:color="E0E0E0" w:sz="2" w:space="0"/>
              <w:right w:val="single" w:color="E0E0E0" w:sz="2" w:space="0"/>
            </w:tcBorders>
            <w:shd w:val="clear"/>
            <w:tcMar>
              <w:top w:w="161" w:type="dxa"/>
              <w:bottom w:w="161" w:type="dxa"/>
              <w:right w:w="193" w:type="dxa"/>
            </w:tcMar>
            <w:vAlign w:val="center"/>
          </w:tcPr>
          <w:p w14:paraId="69235E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Helvetica" w:hAnsi="Helvetica" w:eastAsia="Helvetica" w:cs="Helvetica"/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1.6 MPa</w:t>
            </w:r>
          </w:p>
        </w:tc>
        <w:tc>
          <w:tcPr>
            <w:tcW w:w="0" w:type="auto"/>
            <w:tcBorders>
              <w:top w:val="single" w:color="E0E0E0" w:sz="2" w:space="0"/>
              <w:left w:val="single" w:color="E0E0E0" w:sz="2" w:space="0"/>
              <w:bottom w:val="single" w:color="E0E0E0" w:sz="2" w:space="0"/>
              <w:right w:val="single" w:color="E0E0E0" w:sz="2" w:space="0"/>
            </w:tcBorders>
            <w:shd w:val="clear"/>
            <w:tcMar>
              <w:top w:w="161" w:type="dxa"/>
              <w:bottom w:w="161" w:type="dxa"/>
              <w:right w:w="193" w:type="dxa"/>
            </w:tcMar>
            <w:vAlign w:val="center"/>
          </w:tcPr>
          <w:p w14:paraId="55D7C5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Helvetica" w:hAnsi="Helvetica" w:eastAsia="Helvetica" w:cs="Helvetica"/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通用的工业标准，适用于暖通空调、一般化工管道。</w:t>
            </w:r>
          </w:p>
        </w:tc>
      </w:tr>
      <w:tr w14:paraId="6211B1A3">
        <w:tblPrEx>
          <w:tblBorders>
            <w:top w:val="single" w:color="E0E0E0" w:sz="2" w:space="0"/>
            <w:left w:val="single" w:color="E0E0E0" w:sz="2" w:space="0"/>
            <w:bottom w:val="single" w:color="E0E0E0" w:sz="2" w:space="0"/>
            <w:right w:val="single" w:color="E0E0E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0E0E0" w:sz="2" w:space="0"/>
              <w:left w:val="single" w:color="E0E0E0" w:sz="2" w:space="0"/>
              <w:bottom w:val="single" w:color="E0E0E0" w:sz="2" w:space="0"/>
              <w:right w:val="single" w:color="E0E0E0" w:sz="2" w:space="0"/>
            </w:tcBorders>
            <w:shd w:val="clear"/>
            <w:tcMar>
              <w:top w:w="161" w:type="dxa"/>
              <w:bottom w:w="161" w:type="dxa"/>
              <w:right w:w="193" w:type="dxa"/>
            </w:tcMar>
            <w:vAlign w:val="center"/>
          </w:tcPr>
          <w:p w14:paraId="32561F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Helvetica" w:hAnsi="Helvetica" w:eastAsia="Helvetica" w:cs="Helvetica"/>
                <w:sz w:val="24"/>
                <w:szCs w:val="24"/>
              </w:rPr>
            </w:pPr>
            <w:r>
              <w:rPr>
                <w:rStyle w:val="11"/>
                <w:rFonts w:hint="default" w:ascii="Helvetica" w:hAnsi="Helvetica" w:eastAsia="Helvetica" w:cs="Helvetica"/>
                <w:b/>
                <w:bCs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PN25</w:t>
            </w:r>
            <w:r>
              <w:rPr>
                <w:rFonts w:hint="default" w:ascii="Helvetica" w:hAnsi="Helvetica" w:eastAsia="Helvetica" w:cs="Helvetica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​</w:t>
            </w:r>
          </w:p>
        </w:tc>
        <w:tc>
          <w:tcPr>
            <w:tcW w:w="0" w:type="auto"/>
            <w:tcBorders>
              <w:top w:val="single" w:color="E0E0E0" w:sz="2" w:space="0"/>
              <w:left w:val="single" w:color="E0E0E0" w:sz="2" w:space="0"/>
              <w:bottom w:val="single" w:color="E0E0E0" w:sz="2" w:space="0"/>
              <w:right w:val="single" w:color="E0E0E0" w:sz="2" w:space="0"/>
            </w:tcBorders>
            <w:shd w:val="clear"/>
            <w:tcMar>
              <w:top w:w="161" w:type="dxa"/>
              <w:bottom w:w="161" w:type="dxa"/>
              <w:right w:w="193" w:type="dxa"/>
            </w:tcMar>
            <w:vAlign w:val="center"/>
          </w:tcPr>
          <w:p w14:paraId="7CD460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Helvetica" w:hAnsi="Helvetica" w:eastAsia="Helvetica" w:cs="Helvetica"/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2.5 MPa</w:t>
            </w:r>
          </w:p>
        </w:tc>
        <w:tc>
          <w:tcPr>
            <w:tcW w:w="0" w:type="auto"/>
            <w:tcBorders>
              <w:top w:val="single" w:color="E0E0E0" w:sz="2" w:space="0"/>
              <w:left w:val="single" w:color="E0E0E0" w:sz="2" w:space="0"/>
              <w:bottom w:val="single" w:color="E0E0E0" w:sz="2" w:space="0"/>
              <w:right w:val="single" w:color="E0E0E0" w:sz="2" w:space="0"/>
            </w:tcBorders>
            <w:shd w:val="clear"/>
            <w:tcMar>
              <w:top w:w="161" w:type="dxa"/>
              <w:bottom w:w="161" w:type="dxa"/>
              <w:right w:w="193" w:type="dxa"/>
            </w:tcMar>
            <w:vAlign w:val="center"/>
          </w:tcPr>
          <w:p w14:paraId="0AED74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Helvetica" w:hAnsi="Helvetica" w:eastAsia="Helvetica" w:cs="Helvetica"/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中压工况，如中压蒸汽、部分化工装置。</w:t>
            </w:r>
          </w:p>
        </w:tc>
      </w:tr>
      <w:tr w14:paraId="1F5ED506">
        <w:tblPrEx>
          <w:tblBorders>
            <w:top w:val="single" w:color="E0E0E0" w:sz="2" w:space="0"/>
            <w:left w:val="single" w:color="E0E0E0" w:sz="2" w:space="0"/>
            <w:bottom w:val="single" w:color="E0E0E0" w:sz="2" w:space="0"/>
            <w:right w:val="single" w:color="E0E0E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0E0E0" w:sz="2" w:space="0"/>
              <w:left w:val="single" w:color="E0E0E0" w:sz="2" w:space="0"/>
              <w:bottom w:val="single" w:color="E0E0E0" w:sz="2" w:space="0"/>
              <w:right w:val="single" w:color="E0E0E0" w:sz="2" w:space="0"/>
            </w:tcBorders>
            <w:shd w:val="clear"/>
            <w:tcMar>
              <w:top w:w="161" w:type="dxa"/>
              <w:bottom w:w="161" w:type="dxa"/>
              <w:right w:w="193" w:type="dxa"/>
            </w:tcMar>
            <w:vAlign w:val="center"/>
          </w:tcPr>
          <w:p w14:paraId="7EE67F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Helvetica" w:hAnsi="Helvetica" w:eastAsia="Helvetica" w:cs="Helvetica"/>
                <w:sz w:val="24"/>
                <w:szCs w:val="24"/>
              </w:rPr>
            </w:pPr>
            <w:r>
              <w:rPr>
                <w:rStyle w:val="11"/>
                <w:rFonts w:hint="default" w:ascii="Helvetica" w:hAnsi="Helvetica" w:eastAsia="Helvetica" w:cs="Helvetica"/>
                <w:b/>
                <w:bCs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PN40</w:t>
            </w:r>
            <w:r>
              <w:rPr>
                <w:rFonts w:hint="default" w:ascii="Helvetica" w:hAnsi="Helvetica" w:eastAsia="Helvetica" w:cs="Helvetica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​</w:t>
            </w:r>
          </w:p>
        </w:tc>
        <w:tc>
          <w:tcPr>
            <w:tcW w:w="0" w:type="auto"/>
            <w:tcBorders>
              <w:top w:val="single" w:color="E0E0E0" w:sz="2" w:space="0"/>
              <w:left w:val="single" w:color="E0E0E0" w:sz="2" w:space="0"/>
              <w:bottom w:val="single" w:color="E0E0E0" w:sz="2" w:space="0"/>
              <w:right w:val="single" w:color="E0E0E0" w:sz="2" w:space="0"/>
            </w:tcBorders>
            <w:shd w:val="clear"/>
            <w:tcMar>
              <w:top w:w="161" w:type="dxa"/>
              <w:bottom w:w="161" w:type="dxa"/>
              <w:right w:w="193" w:type="dxa"/>
            </w:tcMar>
            <w:vAlign w:val="center"/>
          </w:tcPr>
          <w:p w14:paraId="13A160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Helvetica" w:hAnsi="Helvetica" w:eastAsia="Helvetica" w:cs="Helvetica"/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4.0 MPa</w:t>
            </w:r>
          </w:p>
        </w:tc>
        <w:tc>
          <w:tcPr>
            <w:tcW w:w="0" w:type="auto"/>
            <w:tcBorders>
              <w:top w:val="single" w:color="E0E0E0" w:sz="2" w:space="0"/>
              <w:left w:val="single" w:color="E0E0E0" w:sz="2" w:space="0"/>
              <w:bottom w:val="single" w:color="E0E0E0" w:sz="2" w:space="0"/>
              <w:right w:val="single" w:color="E0E0E0" w:sz="2" w:space="0"/>
            </w:tcBorders>
            <w:shd w:val="clear"/>
            <w:tcMar>
              <w:top w:w="161" w:type="dxa"/>
              <w:bottom w:w="161" w:type="dxa"/>
              <w:right w:w="193" w:type="dxa"/>
            </w:tcMar>
            <w:vAlign w:val="center"/>
          </w:tcPr>
          <w:p w14:paraId="56761B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Helvetica" w:hAnsi="Helvetica" w:eastAsia="Helvetica" w:cs="Helvetica"/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高压工况，如化工装置、高压水路。</w:t>
            </w:r>
          </w:p>
        </w:tc>
      </w:tr>
    </w:tbl>
    <w:p w14:paraId="7A13FAEB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7B6D4B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卫生级快装球阀常见压力等级为0.6～1.6 MPa，选型时需确认其压力-温度额定值。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52D005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</w:t>
      </w:r>
      <w:r>
        <w:rPr>
          <w:rStyle w:val="11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考虑温度对压力的影响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6E4314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高温会导致材料强度下降，实际允许工作压力会降低。例如，碳钢或不锈钢阀门在300℃时，其允许工作压力可能仅为常温下的60%～70%。选型时必须参考制造商提供的“温度-压力修正表”。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33E4C1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✨ 其他关键选型因素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17D119F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</w:t>
      </w:r>
      <w:r>
        <w:rPr>
          <w:rStyle w:val="11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阀体材质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：根据介质腐蚀性选择。通用场合可选304不锈钢；存在氯离子腐蚀风险(如海水、盐水)或高卫生要求的场合，应选用316或316L不锈钢。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7AB6EB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</w:t>
      </w:r>
      <w:r>
        <w:rPr>
          <w:rStyle w:val="11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表面处理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：卫生级应用要求阀门内外表面高光洁度(如Ra≤0.8μm)，以减少介质附着和细菌滋生。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37B2EB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</w:t>
      </w:r>
      <w:r>
        <w:rPr>
          <w:rStyle w:val="11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操作方式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：根据控制需求选择手动、气动或电动。自动化系统需额外考虑信号类型、防爆等级和防护等级(如IP67)。</w:t>
      </w:r>
    </w:p>
    <w:p w14:paraId="6B2CF5C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KSOFB4AB0A6B">
    <w:panose1 w:val="020B0704020202020204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35141"/>
    <w:rsid w:val="00AD53FE"/>
    <w:rsid w:val="00FE5DE6"/>
    <w:rsid w:val="00FF3206"/>
    <w:rsid w:val="01670E0F"/>
    <w:rsid w:val="019404F8"/>
    <w:rsid w:val="01D54E70"/>
    <w:rsid w:val="01D82826"/>
    <w:rsid w:val="020B3286"/>
    <w:rsid w:val="02170D82"/>
    <w:rsid w:val="0248078D"/>
    <w:rsid w:val="02735976"/>
    <w:rsid w:val="027B44A0"/>
    <w:rsid w:val="027D2D3A"/>
    <w:rsid w:val="033C6CFD"/>
    <w:rsid w:val="036C34DA"/>
    <w:rsid w:val="039D18E6"/>
    <w:rsid w:val="042042C5"/>
    <w:rsid w:val="04737B58"/>
    <w:rsid w:val="049820AD"/>
    <w:rsid w:val="04DC6B2B"/>
    <w:rsid w:val="05A0746B"/>
    <w:rsid w:val="05A2486E"/>
    <w:rsid w:val="05FE6B2C"/>
    <w:rsid w:val="06426E32"/>
    <w:rsid w:val="06542863"/>
    <w:rsid w:val="070F4710"/>
    <w:rsid w:val="07350087"/>
    <w:rsid w:val="0744651C"/>
    <w:rsid w:val="07593D76"/>
    <w:rsid w:val="07B65229"/>
    <w:rsid w:val="093E1796"/>
    <w:rsid w:val="097575B9"/>
    <w:rsid w:val="0A764D62"/>
    <w:rsid w:val="0AF838A6"/>
    <w:rsid w:val="0B100BEF"/>
    <w:rsid w:val="0B3D02BF"/>
    <w:rsid w:val="0BDF05C2"/>
    <w:rsid w:val="0C1F0D4E"/>
    <w:rsid w:val="0CE83FFD"/>
    <w:rsid w:val="0CEC366B"/>
    <w:rsid w:val="0D245DDA"/>
    <w:rsid w:val="0D5A2B6F"/>
    <w:rsid w:val="0DA41AC3"/>
    <w:rsid w:val="0DD36263"/>
    <w:rsid w:val="0DEF7FA9"/>
    <w:rsid w:val="0E2369E2"/>
    <w:rsid w:val="0E4F3C38"/>
    <w:rsid w:val="0E8C4A31"/>
    <w:rsid w:val="0ED32A55"/>
    <w:rsid w:val="106F5D34"/>
    <w:rsid w:val="10F6332E"/>
    <w:rsid w:val="10F845FF"/>
    <w:rsid w:val="11A93B4C"/>
    <w:rsid w:val="11AB1094"/>
    <w:rsid w:val="11B61DC5"/>
    <w:rsid w:val="1245638A"/>
    <w:rsid w:val="12777419"/>
    <w:rsid w:val="128915B0"/>
    <w:rsid w:val="12B02CB8"/>
    <w:rsid w:val="136F5E3F"/>
    <w:rsid w:val="13F703EC"/>
    <w:rsid w:val="143C0F41"/>
    <w:rsid w:val="14B839C2"/>
    <w:rsid w:val="14BE3426"/>
    <w:rsid w:val="1506570B"/>
    <w:rsid w:val="15B704C3"/>
    <w:rsid w:val="15DE48A9"/>
    <w:rsid w:val="16EB4173"/>
    <w:rsid w:val="16EB6166"/>
    <w:rsid w:val="16F37618"/>
    <w:rsid w:val="17326866"/>
    <w:rsid w:val="17E03FB1"/>
    <w:rsid w:val="17E31439"/>
    <w:rsid w:val="17F53B32"/>
    <w:rsid w:val="185B57E7"/>
    <w:rsid w:val="19204EFE"/>
    <w:rsid w:val="196565AA"/>
    <w:rsid w:val="19831E1A"/>
    <w:rsid w:val="19B00DD0"/>
    <w:rsid w:val="19F255A0"/>
    <w:rsid w:val="1A245680"/>
    <w:rsid w:val="1AF45457"/>
    <w:rsid w:val="1B0F73F9"/>
    <w:rsid w:val="1B511483"/>
    <w:rsid w:val="1B657325"/>
    <w:rsid w:val="1B8076CB"/>
    <w:rsid w:val="1BFA3B3A"/>
    <w:rsid w:val="1C1E05D7"/>
    <w:rsid w:val="1C27223D"/>
    <w:rsid w:val="1C691B6D"/>
    <w:rsid w:val="1C6E39C8"/>
    <w:rsid w:val="1D240668"/>
    <w:rsid w:val="1D832840"/>
    <w:rsid w:val="1DAC7938"/>
    <w:rsid w:val="1DE11275"/>
    <w:rsid w:val="1E2D1660"/>
    <w:rsid w:val="1E370649"/>
    <w:rsid w:val="1E5E181A"/>
    <w:rsid w:val="1EE25A28"/>
    <w:rsid w:val="1F0933D8"/>
    <w:rsid w:val="1F272B52"/>
    <w:rsid w:val="1F7E4544"/>
    <w:rsid w:val="1F820175"/>
    <w:rsid w:val="1FC252F1"/>
    <w:rsid w:val="1FC65261"/>
    <w:rsid w:val="1FCE6772"/>
    <w:rsid w:val="20112FE8"/>
    <w:rsid w:val="20C65584"/>
    <w:rsid w:val="20E029BA"/>
    <w:rsid w:val="20F64921"/>
    <w:rsid w:val="21B93937"/>
    <w:rsid w:val="21E62252"/>
    <w:rsid w:val="21F1422B"/>
    <w:rsid w:val="21F74AB7"/>
    <w:rsid w:val="227B6E3E"/>
    <w:rsid w:val="227C0521"/>
    <w:rsid w:val="230E7CB2"/>
    <w:rsid w:val="2329027C"/>
    <w:rsid w:val="23906919"/>
    <w:rsid w:val="24134E54"/>
    <w:rsid w:val="243204E2"/>
    <w:rsid w:val="245C11D3"/>
    <w:rsid w:val="24A51914"/>
    <w:rsid w:val="257A33DD"/>
    <w:rsid w:val="25E20F82"/>
    <w:rsid w:val="267730F3"/>
    <w:rsid w:val="26FE1038"/>
    <w:rsid w:val="2714558B"/>
    <w:rsid w:val="272C630F"/>
    <w:rsid w:val="27484E85"/>
    <w:rsid w:val="27925D83"/>
    <w:rsid w:val="27B92ADA"/>
    <w:rsid w:val="27C122F3"/>
    <w:rsid w:val="280F1035"/>
    <w:rsid w:val="2812493A"/>
    <w:rsid w:val="281A4986"/>
    <w:rsid w:val="2825270A"/>
    <w:rsid w:val="28257408"/>
    <w:rsid w:val="2882119E"/>
    <w:rsid w:val="28B8039C"/>
    <w:rsid w:val="29447426"/>
    <w:rsid w:val="297D63F3"/>
    <w:rsid w:val="299013F5"/>
    <w:rsid w:val="29A9188B"/>
    <w:rsid w:val="29C93231"/>
    <w:rsid w:val="29D23A26"/>
    <w:rsid w:val="2A186697"/>
    <w:rsid w:val="2A5665D5"/>
    <w:rsid w:val="2A971EC6"/>
    <w:rsid w:val="2B277B63"/>
    <w:rsid w:val="2BBD6588"/>
    <w:rsid w:val="2BE01FFA"/>
    <w:rsid w:val="2CA61F26"/>
    <w:rsid w:val="2CB23C3F"/>
    <w:rsid w:val="2D610F7A"/>
    <w:rsid w:val="2E0700C0"/>
    <w:rsid w:val="2E304F81"/>
    <w:rsid w:val="2E3B072C"/>
    <w:rsid w:val="2ED56178"/>
    <w:rsid w:val="2ED6069B"/>
    <w:rsid w:val="2F0D0E1E"/>
    <w:rsid w:val="2F4773FE"/>
    <w:rsid w:val="2F4800A8"/>
    <w:rsid w:val="2FC72E1F"/>
    <w:rsid w:val="2FF8370B"/>
    <w:rsid w:val="309E506C"/>
    <w:rsid w:val="30B315F8"/>
    <w:rsid w:val="30E3697C"/>
    <w:rsid w:val="3143455C"/>
    <w:rsid w:val="317E4255"/>
    <w:rsid w:val="318A49A8"/>
    <w:rsid w:val="32552531"/>
    <w:rsid w:val="327A654F"/>
    <w:rsid w:val="32871043"/>
    <w:rsid w:val="3291620A"/>
    <w:rsid w:val="32D53528"/>
    <w:rsid w:val="32F02F31"/>
    <w:rsid w:val="32F53F8C"/>
    <w:rsid w:val="32FE13C9"/>
    <w:rsid w:val="330B1B18"/>
    <w:rsid w:val="3317670F"/>
    <w:rsid w:val="33346FC6"/>
    <w:rsid w:val="33A4059C"/>
    <w:rsid w:val="33F3790B"/>
    <w:rsid w:val="34004307"/>
    <w:rsid w:val="341E07EE"/>
    <w:rsid w:val="341F706B"/>
    <w:rsid w:val="344B7192"/>
    <w:rsid w:val="34EC0D2A"/>
    <w:rsid w:val="35727C2D"/>
    <w:rsid w:val="35994521"/>
    <w:rsid w:val="36092412"/>
    <w:rsid w:val="365301F6"/>
    <w:rsid w:val="36776CE8"/>
    <w:rsid w:val="36851BE2"/>
    <w:rsid w:val="3685750D"/>
    <w:rsid w:val="3701395E"/>
    <w:rsid w:val="372A0649"/>
    <w:rsid w:val="37465FBC"/>
    <w:rsid w:val="37636846"/>
    <w:rsid w:val="379B619B"/>
    <w:rsid w:val="37C0367E"/>
    <w:rsid w:val="381C6D3F"/>
    <w:rsid w:val="388E305C"/>
    <w:rsid w:val="389948BB"/>
    <w:rsid w:val="39002456"/>
    <w:rsid w:val="3908584D"/>
    <w:rsid w:val="393424F6"/>
    <w:rsid w:val="39437C11"/>
    <w:rsid w:val="39970D2E"/>
    <w:rsid w:val="39F9518D"/>
    <w:rsid w:val="3A045513"/>
    <w:rsid w:val="3A76100F"/>
    <w:rsid w:val="3A832F6A"/>
    <w:rsid w:val="3A9742E1"/>
    <w:rsid w:val="3AB713FE"/>
    <w:rsid w:val="3B0C28D2"/>
    <w:rsid w:val="3BBF4BC5"/>
    <w:rsid w:val="3BC54918"/>
    <w:rsid w:val="3C2B7E58"/>
    <w:rsid w:val="3C3932FD"/>
    <w:rsid w:val="3C565234"/>
    <w:rsid w:val="3C6E51AE"/>
    <w:rsid w:val="3D0E01C3"/>
    <w:rsid w:val="3D7353D9"/>
    <w:rsid w:val="3D8170FC"/>
    <w:rsid w:val="3DDE7B01"/>
    <w:rsid w:val="3E045AE2"/>
    <w:rsid w:val="3E5A1BA6"/>
    <w:rsid w:val="3E6B066C"/>
    <w:rsid w:val="3E890575"/>
    <w:rsid w:val="3EDC6A25"/>
    <w:rsid w:val="3F8724A9"/>
    <w:rsid w:val="3FDD12EB"/>
    <w:rsid w:val="402C147E"/>
    <w:rsid w:val="402C344E"/>
    <w:rsid w:val="403857A8"/>
    <w:rsid w:val="41280288"/>
    <w:rsid w:val="41406E3E"/>
    <w:rsid w:val="41B458E7"/>
    <w:rsid w:val="41D63B44"/>
    <w:rsid w:val="41EB1721"/>
    <w:rsid w:val="41FF7BB8"/>
    <w:rsid w:val="42226A6C"/>
    <w:rsid w:val="424A6052"/>
    <w:rsid w:val="42980EEF"/>
    <w:rsid w:val="42C24566"/>
    <w:rsid w:val="43923F81"/>
    <w:rsid w:val="43A0701B"/>
    <w:rsid w:val="43CF576A"/>
    <w:rsid w:val="43D84AA5"/>
    <w:rsid w:val="4461357A"/>
    <w:rsid w:val="44AF3D45"/>
    <w:rsid w:val="44D7516C"/>
    <w:rsid w:val="457C1814"/>
    <w:rsid w:val="46F506BE"/>
    <w:rsid w:val="470637C8"/>
    <w:rsid w:val="471A4443"/>
    <w:rsid w:val="47221636"/>
    <w:rsid w:val="475B5DC6"/>
    <w:rsid w:val="481B072C"/>
    <w:rsid w:val="48237F61"/>
    <w:rsid w:val="48D2510C"/>
    <w:rsid w:val="48D36DC6"/>
    <w:rsid w:val="48DA28FB"/>
    <w:rsid w:val="495A6C96"/>
    <w:rsid w:val="4AC4205C"/>
    <w:rsid w:val="4B790423"/>
    <w:rsid w:val="4BB46D99"/>
    <w:rsid w:val="4BC20644"/>
    <w:rsid w:val="4BD52F7B"/>
    <w:rsid w:val="4C077FF4"/>
    <w:rsid w:val="4C946F5B"/>
    <w:rsid w:val="4CC61429"/>
    <w:rsid w:val="4CF907DC"/>
    <w:rsid w:val="4D4072AF"/>
    <w:rsid w:val="4E060604"/>
    <w:rsid w:val="4E132A05"/>
    <w:rsid w:val="4E3B0121"/>
    <w:rsid w:val="4E632BAB"/>
    <w:rsid w:val="4E963E7C"/>
    <w:rsid w:val="4EB91648"/>
    <w:rsid w:val="4F057DC5"/>
    <w:rsid w:val="4F4D527C"/>
    <w:rsid w:val="4F79014D"/>
    <w:rsid w:val="4FDE6D59"/>
    <w:rsid w:val="50496A10"/>
    <w:rsid w:val="50B43398"/>
    <w:rsid w:val="50E7658F"/>
    <w:rsid w:val="51050224"/>
    <w:rsid w:val="51340035"/>
    <w:rsid w:val="513B71F4"/>
    <w:rsid w:val="517C3689"/>
    <w:rsid w:val="51C037A1"/>
    <w:rsid w:val="51E10671"/>
    <w:rsid w:val="52203511"/>
    <w:rsid w:val="524319A5"/>
    <w:rsid w:val="526D7CA2"/>
    <w:rsid w:val="52867B06"/>
    <w:rsid w:val="534A7FE3"/>
    <w:rsid w:val="53851B21"/>
    <w:rsid w:val="53B40F09"/>
    <w:rsid w:val="53FA5EDD"/>
    <w:rsid w:val="546F6E06"/>
    <w:rsid w:val="54C7120F"/>
    <w:rsid w:val="558463FC"/>
    <w:rsid w:val="55ED58F7"/>
    <w:rsid w:val="562775FF"/>
    <w:rsid w:val="56AB35DB"/>
    <w:rsid w:val="56B57867"/>
    <w:rsid w:val="57435FBE"/>
    <w:rsid w:val="575E6EE0"/>
    <w:rsid w:val="5777286F"/>
    <w:rsid w:val="577A3D3D"/>
    <w:rsid w:val="5797131D"/>
    <w:rsid w:val="58442829"/>
    <w:rsid w:val="586960F4"/>
    <w:rsid w:val="58C358FF"/>
    <w:rsid w:val="58C67997"/>
    <w:rsid w:val="58F0305A"/>
    <w:rsid w:val="58FF53CC"/>
    <w:rsid w:val="590E5FB8"/>
    <w:rsid w:val="598756F0"/>
    <w:rsid w:val="59DF2DEB"/>
    <w:rsid w:val="59EC3BA2"/>
    <w:rsid w:val="59EC7A97"/>
    <w:rsid w:val="5A0F49F5"/>
    <w:rsid w:val="5AA42A95"/>
    <w:rsid w:val="5AC139F1"/>
    <w:rsid w:val="5AE51363"/>
    <w:rsid w:val="5AF54844"/>
    <w:rsid w:val="5B7243BE"/>
    <w:rsid w:val="5C03539A"/>
    <w:rsid w:val="5C617570"/>
    <w:rsid w:val="5D38538B"/>
    <w:rsid w:val="5D5B7668"/>
    <w:rsid w:val="5DCE1B1C"/>
    <w:rsid w:val="5E3D49CC"/>
    <w:rsid w:val="5E60152A"/>
    <w:rsid w:val="5E895E64"/>
    <w:rsid w:val="5E936FB3"/>
    <w:rsid w:val="5ECC0B16"/>
    <w:rsid w:val="5F5D7424"/>
    <w:rsid w:val="5FD01188"/>
    <w:rsid w:val="60064CF5"/>
    <w:rsid w:val="601E1EF1"/>
    <w:rsid w:val="608E7761"/>
    <w:rsid w:val="611E35D1"/>
    <w:rsid w:val="615A1B72"/>
    <w:rsid w:val="618233C6"/>
    <w:rsid w:val="62095389"/>
    <w:rsid w:val="620D0B5A"/>
    <w:rsid w:val="62207233"/>
    <w:rsid w:val="6252318D"/>
    <w:rsid w:val="629300A9"/>
    <w:rsid w:val="630A027A"/>
    <w:rsid w:val="636C7B02"/>
    <w:rsid w:val="6413675B"/>
    <w:rsid w:val="64744B28"/>
    <w:rsid w:val="64746921"/>
    <w:rsid w:val="64B57FA4"/>
    <w:rsid w:val="64FF204F"/>
    <w:rsid w:val="65734E67"/>
    <w:rsid w:val="657832D2"/>
    <w:rsid w:val="660D2220"/>
    <w:rsid w:val="662636B1"/>
    <w:rsid w:val="663F18DB"/>
    <w:rsid w:val="669916B9"/>
    <w:rsid w:val="66DE3387"/>
    <w:rsid w:val="673D0C19"/>
    <w:rsid w:val="675148AC"/>
    <w:rsid w:val="675F57DB"/>
    <w:rsid w:val="67650AF0"/>
    <w:rsid w:val="676A4358"/>
    <w:rsid w:val="679649C1"/>
    <w:rsid w:val="67C71862"/>
    <w:rsid w:val="680D08D0"/>
    <w:rsid w:val="68294213"/>
    <w:rsid w:val="68D10D6E"/>
    <w:rsid w:val="68DA17D8"/>
    <w:rsid w:val="691A2B02"/>
    <w:rsid w:val="697A2EB9"/>
    <w:rsid w:val="6A162576"/>
    <w:rsid w:val="6A3A6048"/>
    <w:rsid w:val="6A3B1228"/>
    <w:rsid w:val="6A921BBF"/>
    <w:rsid w:val="6A99742E"/>
    <w:rsid w:val="6A9B3239"/>
    <w:rsid w:val="6AA72A59"/>
    <w:rsid w:val="6B286A04"/>
    <w:rsid w:val="6B520A6F"/>
    <w:rsid w:val="6BE75F78"/>
    <w:rsid w:val="6C252EFA"/>
    <w:rsid w:val="6C5C5978"/>
    <w:rsid w:val="6CA8695E"/>
    <w:rsid w:val="6D9A126A"/>
    <w:rsid w:val="6DE9247B"/>
    <w:rsid w:val="6F9F664B"/>
    <w:rsid w:val="6FC4471C"/>
    <w:rsid w:val="6FF177FA"/>
    <w:rsid w:val="704108C3"/>
    <w:rsid w:val="704C399F"/>
    <w:rsid w:val="70502EE9"/>
    <w:rsid w:val="7096103B"/>
    <w:rsid w:val="70A40FD2"/>
    <w:rsid w:val="70DA28D0"/>
    <w:rsid w:val="70ED0A2F"/>
    <w:rsid w:val="715F13CD"/>
    <w:rsid w:val="718728FB"/>
    <w:rsid w:val="71B3557E"/>
    <w:rsid w:val="71D21478"/>
    <w:rsid w:val="726377BC"/>
    <w:rsid w:val="729429A0"/>
    <w:rsid w:val="72A03205"/>
    <w:rsid w:val="72C02C76"/>
    <w:rsid w:val="7315589F"/>
    <w:rsid w:val="732924AB"/>
    <w:rsid w:val="735022AF"/>
    <w:rsid w:val="737E540C"/>
    <w:rsid w:val="739A136C"/>
    <w:rsid w:val="73AD3F4B"/>
    <w:rsid w:val="73E02438"/>
    <w:rsid w:val="73ED6640"/>
    <w:rsid w:val="74A73B89"/>
    <w:rsid w:val="74D277C3"/>
    <w:rsid w:val="74F160B9"/>
    <w:rsid w:val="757A3B30"/>
    <w:rsid w:val="7592695A"/>
    <w:rsid w:val="768952A5"/>
    <w:rsid w:val="76923435"/>
    <w:rsid w:val="76CE78B6"/>
    <w:rsid w:val="77A0299D"/>
    <w:rsid w:val="77A16CB3"/>
    <w:rsid w:val="77A64463"/>
    <w:rsid w:val="77D202A2"/>
    <w:rsid w:val="78703173"/>
    <w:rsid w:val="78FB1A46"/>
    <w:rsid w:val="790C2F25"/>
    <w:rsid w:val="79885061"/>
    <w:rsid w:val="79B002F1"/>
    <w:rsid w:val="79C51E45"/>
    <w:rsid w:val="7A1E40AE"/>
    <w:rsid w:val="7A716722"/>
    <w:rsid w:val="7B25086A"/>
    <w:rsid w:val="7B4A3898"/>
    <w:rsid w:val="7BB52709"/>
    <w:rsid w:val="7D115F4B"/>
    <w:rsid w:val="7D1346B4"/>
    <w:rsid w:val="7E2033FC"/>
    <w:rsid w:val="7E3D5ECB"/>
    <w:rsid w:val="7E42680F"/>
    <w:rsid w:val="7EBE7139"/>
    <w:rsid w:val="7EEA1BAF"/>
    <w:rsid w:val="7F03101E"/>
    <w:rsid w:val="7FA71813"/>
    <w:rsid w:val="7FC2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Emphasis"/>
    <w:basedOn w:val="10"/>
    <w:qFormat/>
    <w:uiPriority w:val="0"/>
    <w:rPr>
      <w:i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656</Words>
  <Characters>665</Characters>
  <Lines>0</Lines>
  <Paragraphs>0</Paragraphs>
  <TotalTime>2</TotalTime>
  <ScaleCrop>false</ScaleCrop>
  <LinksUpToDate>false</LinksUpToDate>
  <CharactersWithSpaces>716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2025-12-16T01:27:00Z</dcterms:created>
  <dc:creator>Mt</dc:creator>
  <cp:lastModifiedBy>WPS_1646873444</cp:lastModifiedBy>
  <dcterms:modified xsi:type="dcterms:W3CDTF">2026-04-24T09:09:37Z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eyJoZGlkIjoiYjA5ZmJiMTJkMzI5ZGI2NmMzYTkyYWEzODg2ZmUwZmMiLCJ1c2VySWQiOiIxMzQyNTAwNTc0In0=</vt:lpwstr>
  </property>
  <property fmtid="{D5CDD505-2E9C-101B-9397-08002B2CF9AE}" pid="4" name="ICV">
    <vt:lpwstr>7EFC36832D454735A59E5E7FC0307018_12</vt:lpwstr>
  </property>
</Properties>
</file>